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0B" w:rsidRPr="00FE580B" w:rsidRDefault="00FE580B" w:rsidP="00FE580B">
      <w:pPr>
        <w:spacing w:before="390" w:after="540" w:line="312" w:lineRule="atLeast"/>
        <w:textAlignment w:val="baseline"/>
        <w:outlineLvl w:val="2"/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</w:pPr>
      <w:r w:rsidRPr="00FE580B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 xml:space="preserve">Об обеспечении выполнения </w:t>
      </w:r>
      <w:bookmarkStart w:id="0" w:name="_GoBack"/>
      <w:bookmarkEnd w:id="0"/>
      <w:r w:rsidRPr="00FE580B">
        <w:rPr>
          <w:rFonts w:ascii="Helvetica" w:eastAsia="Times New Roman" w:hAnsi="Helvetica" w:cs="Helvetica"/>
          <w:color w:val="111111"/>
          <w:sz w:val="39"/>
          <w:szCs w:val="39"/>
          <w:lang w:eastAsia="ru-RU"/>
        </w:rPr>
        <w:t>поручений Президента России по итогам встречи с представителями Общероссийского народного фронта 10 апреля 2014 года</w:t>
      </w:r>
    </w:p>
    <w:p w:rsidR="00FE580B" w:rsidRPr="00FE580B" w:rsidRDefault="00FE580B" w:rsidP="00FE580B">
      <w:pPr>
        <w:spacing w:after="0" w:line="270" w:lineRule="atLeast"/>
        <w:textAlignment w:val="baseline"/>
        <w:rPr>
          <w:rFonts w:ascii="Helvetica" w:eastAsia="Times New Roman" w:hAnsi="Helvetica" w:cs="Helvetica"/>
          <w:color w:val="7B7B7B"/>
          <w:sz w:val="24"/>
          <w:szCs w:val="24"/>
          <w:lang w:eastAsia="ru-RU"/>
        </w:rPr>
      </w:pPr>
      <w:r w:rsidRPr="00FE580B">
        <w:rPr>
          <w:rFonts w:ascii="Helvetica" w:eastAsia="Times New Roman" w:hAnsi="Helvetica" w:cs="Helvetica"/>
          <w:color w:val="7B7B7B"/>
          <w:sz w:val="24"/>
          <w:szCs w:val="24"/>
          <w:bdr w:val="none" w:sz="0" w:space="0" w:color="auto" w:frame="1"/>
          <w:lang w:eastAsia="ru-RU"/>
        </w:rPr>
        <w:t>5 июня 2014</w:t>
      </w:r>
      <w:r w:rsidRPr="00FE580B">
        <w:rPr>
          <w:rFonts w:ascii="Helvetica" w:eastAsia="Times New Roman" w:hAnsi="Helvetica" w:cs="Helvetica"/>
          <w:color w:val="7B7B7B"/>
          <w:sz w:val="24"/>
          <w:szCs w:val="24"/>
          <w:lang w:eastAsia="ru-RU"/>
        </w:rPr>
        <w:t> </w:t>
      </w:r>
      <w:r w:rsidRPr="00FE580B">
        <w:rPr>
          <w:rFonts w:ascii="Helvetica" w:eastAsia="Times New Roman" w:hAnsi="Helvetica" w:cs="Helvetica"/>
          <w:color w:val="7B7B7B"/>
          <w:sz w:val="24"/>
          <w:szCs w:val="24"/>
          <w:bdr w:val="none" w:sz="0" w:space="0" w:color="auto" w:frame="1"/>
          <w:lang w:eastAsia="ru-RU"/>
        </w:rPr>
        <w:t>07:00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Дмитрий Медведев дал указания во исполнение </w:t>
      </w:r>
      <w:hyperlink r:id="rId6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перечня поручений Президента России от 26 мая 2014 года №Пр-1165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, а именно (резолюция от 5 июня 2014 года №ДМ-П9-4150):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1. </w:t>
      </w:r>
      <w:hyperlink r:id="rId7" w:anchor="sel=7:1,7:10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1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Минсельхозу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Н.В.Фёдорову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Общероссийским общественным движением «Народный фронт "За Россию"» разработать методику оценки эффективности мер государственной финансовой поддержки сельского хозяйства.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30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июня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2. </w:t>
      </w:r>
      <w:hyperlink r:id="rId8" w:anchor="sel=9:1,9:9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2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Минсельхозу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Н.В.Фёдорову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Общероссийским общественным движением «Народный фронт "За Россию"» произвести оценку эффективности мер государственной финансовой поддержки сельского хозяйства.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сентября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3. </w:t>
      </w:r>
      <w:hyperlink r:id="rId9" w:anchor="sel=11:1,11:10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3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Минобрнауки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Д.В.Ливанову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и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Росмолодёжи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С.В.Поспелову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Общероссийским общественным движением «Народный фронт "За Россию"» и Советом Министров Республики Крым организовать проведение Всероссийского молодёжного форума «Таврида» на территории Республики Крым.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30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июня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4. </w:t>
      </w:r>
      <w:hyperlink r:id="rId10" w:anchor="sel=13:1,13:40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4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Минстрою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М.А.Меню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Минэнерго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А.В.Новаку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ФСТ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С.Г.Новикову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совместно с Общероссийским общественным 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lastRenderedPageBreak/>
        <w:t>движением «Народный фронт "За Россию"» организовать мониторинг деятельности субъектов Российской Федерации по введению социальной нормы потребления электроэнергии, произвести оценку её влияния на размер совокупного платежа граждан за коммунальные услуги и представить в установленном порядке предложения по совершенствованию механизмов, применяемых при установлении социальной нормы потребления электроэнергии.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11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сентября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5. </w:t>
      </w:r>
      <w:hyperlink r:id="rId11" w:anchor="sel=16:1,16:20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5 подпункта «а» пункта 2 перечня поручений Президента с учётом ранее данных поручений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Минспорту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В.Л.Мутко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Минздраву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В.И.Скворцовой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),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Минкомсвязи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Н.А.Никифорову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),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Минобрнауки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Д.В.Ливанову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и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Минрегиону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И.Н.Слюняеву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Общероссийским общественным движением «Народный фронт "За Россию"» разработать комплекс мер, направленных на создание условий для вовлечения населения в занятия физической культурой и спортом, предусмотрев его широкое общественное обсуждение.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се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нтября 2014 года.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6. </w:t>
      </w:r>
      <w:hyperlink r:id="rId12" w:anchor="sel=18:1,18:24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6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Минтруду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М.А.Топилину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),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Минобрнауки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Д.В.Ливанову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Минкультуры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В.Р.Мединскому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),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Минспорту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В.Л.Мутко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Минздраву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В.И.Скворцовой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заинтересованными федеральными органами исполнительной власти, организациями и Общероссийским общественным движением «Народный фронт "За Россию"» разработать механизм, обеспечивающий участие Общероссийского общественного движения «Народный фронт "За Россию"» в подготовке программ, принимаемых Правительством Российской Федерации и направленных на решение социально значимых задач.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августа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7. </w:t>
      </w:r>
      <w:hyperlink r:id="rId13" w:anchor="sel=20:1,20:34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7 подпункта «а»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Минстрою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М.А.Меню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ФАС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И.Ю.Артемьеву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совместно с 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lastRenderedPageBreak/>
        <w:t>Общероссийским общественным движением «Народный фронт "За Россию"» проработать вопросы, связанные с внесением в законодательство Российской Федерации изменений, направленных на формирование механизма назначения на конкурсной основе руководителей специальных некоммерческих организаций, осуществляющих деятельность по обеспечению проведения капитального ремонта общего имущества в многоквартирных домах.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17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июня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8. </w:t>
      </w:r>
      <w:hyperlink r:id="rId14" w:anchor="sel=22:1,22:32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подпункту «б»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Минобрнауки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Д.В.Ливанову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Российским историческим обществом обеспечить включение в концепцию нового учебно-методического комплекса отечественной истории сведений о роли Крыма, в том числе города Севастополя, в судьбе Российской империи, СССР и современной России.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30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июля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9. </w:t>
      </w:r>
      <w:hyperlink r:id="rId15" w:anchor="sel=25:1,25:21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1 подпункта «в»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Минэнерго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А.В.Новаку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и Министру Российской Федерации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М.А.Абызову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совместно с Общероссийским общественным движением «Народный фронт "За Россию"» представить в установленном порядке предложения по разработке методики повышения прозрачности механизмов формирования инвестиционных программ организаций электроэнергетики – по согласованию с Общероссийским общественным движением «Народный фронт "За Россию"».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17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июля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10. </w:t>
      </w:r>
      <w:hyperlink r:id="rId16" w:anchor="sel=27:1,29:29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абзацам 2 и 3 подпункта «в»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Минздраву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В.И.Скворцовой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ФАНО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М.М.Котюкову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представить в установленном порядке предложения по формированию механизмов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софинансирования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расходов бюджетов субъектов Российской Федерации: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- на проведение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пренатальной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(дородовой) диагностики нарушений развития ребёнка и неонатального скрининга новорожденных детей за 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lastRenderedPageBreak/>
        <w:t>счёт бюджетных ассигнований федерального бюджета в объёме не менее 50% общих затрат;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- на лечение больных, страдающих редкими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орфанными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заболеваниями, за счёт бюджетных ассигнований федерального бюджета, в том числе за счёт средств, полученных в результате экономии при проведении централизованных закупок лекарственных средств.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июля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11. </w:t>
      </w:r>
      <w:hyperlink r:id="rId17" w:anchor="sel=31:1,31:9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абзацу 4 подпункта «в»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Минспорту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В.Л.Мутко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Министерству Российской Федерации по делам Крыма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О.Г.Савельеву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представить в установленном порядке предложения по развитию спортивной инфраструктуры Республики Крым и города Севастополя.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15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июня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12. </w:t>
      </w:r>
      <w:hyperlink r:id="rId18" w:anchor="sel=33:1,34:5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подпункту «г»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Минстрою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М.А.Меню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рассмотреть предложения Общероссийского общественного движения «Народный фронт "За Россию"» по выработке механизмов предоставления кредитных ресурсов при проведении капитального ремонта общего имущества в многоквартирных домах, а также по повышению требований к размещению средств на открытом в кредитной организации специальном счёте, предназначенном для перечисления средств на проведение капитального ремонта общего имущества в многоквартирных домах.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26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июня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13. </w:t>
      </w:r>
      <w:hyperlink r:id="rId19" w:anchor="sel=35:1,37:4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подпункту «д» пункта 2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Минздраву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В.И.Скворцовой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ФАНО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М.М.Котюкову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ФОМС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Н.Н.Стадченко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совместно с заинтересованными федеральными органами исполнительной власти с учётом ранее данных поручений разработать механизм финансирования федеральных медицинских учреждений, оказывающих специализированную высокотехнологичную медицинскую помощь, предусмотрев формирование источников финансирования с учётом 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lastRenderedPageBreak/>
        <w:t>средств Федерального фонда обязательного медицинского страхования, и обеспечить бесперебойное финансирование указанных учреждений в 2015 и 2016 годах.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декабря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14. </w:t>
      </w:r>
      <w:hyperlink r:id="rId20" w:anchor="sel=42:1,43:7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подпункту «а» пункта 4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Минстрою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М.А.Меню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Минэнерго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А.В.Новаку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и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Минкомсвязи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Н.А.Никифорову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совместно с органами исполнительной власти субъектов Российской Федерации обеспечить информационную открытость органов исполнительной власти всех уровней при обсуждении и принятии нормативных правовых актов, направленных на установление социальной нормы потребления электроэнергии, а также на проведение капитального ремонта общего имущества в многоквартирных домах.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августа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15. </w:t>
      </w:r>
      <w:hyperlink r:id="rId21" w:anchor="sel=44:1,46:5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подпунктам «б» и «в» пункта 4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Минстрою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М.А.Меню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), Минфину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А.Г.Силуанову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) и Минэкономразвития России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А.В.Улюкаеву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с участием государственной корпорации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Фонда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содействия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реформированию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жилищно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-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коммунального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хозяйства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- разработать и утвердить нормативы стоимости работ по капитальному ремонту общего имущества в многоквартирных домах, а также установить сроки их осуществления;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- создать эффективную систему контроля за качеством выполнения работ по капитальному ремонту общего имущества в многоквартирных домах.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17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сентября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2014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года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16. </w:t>
      </w:r>
      <w:hyperlink r:id="rId22" w:anchor="sel=47:1,49:16" w:tgtFrame="_blank" w:tooltip="" w:history="1">
        <w:r w:rsidRPr="00FE580B">
          <w:rPr>
            <w:rFonts w:ascii="Georgia" w:eastAsia="Times New Roman" w:hAnsi="Georgia" w:cs="Helvetica"/>
            <w:color w:val="204E8A"/>
            <w:sz w:val="27"/>
            <w:szCs w:val="27"/>
            <w:u w:val="single"/>
            <w:bdr w:val="none" w:sz="0" w:space="0" w:color="auto" w:frame="1"/>
            <w:lang w:eastAsia="ru-RU"/>
          </w:rPr>
          <w:t>По подпункту «г» пункта 4 перечня поручений Президента</w:t>
        </w:r>
      </w:hyperlink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: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Росздравнадзору (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М.А.Мурашко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) совместно с органами исполнительной власти субъектов Российской Федерации усилить контроль за проведением </w:t>
      </w:r>
      <w:proofErr w:type="spellStart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пренатальной</w:t>
      </w:r>
      <w:proofErr w:type="spellEnd"/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диагностики беременных.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Срок </w:t>
      </w:r>
      <w:r w:rsidRPr="00FE580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‒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ежегодно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до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 xml:space="preserve"> 15 </w:t>
      </w:r>
      <w:r w:rsidRPr="00FE580B">
        <w:rPr>
          <w:rFonts w:ascii="Georgia" w:eastAsia="Times New Roman" w:hAnsi="Georgia" w:cs="Georgia"/>
          <w:color w:val="111111"/>
          <w:sz w:val="27"/>
          <w:szCs w:val="27"/>
          <w:lang w:eastAsia="ru-RU"/>
        </w:rPr>
        <w:t>мая</w:t>
      </w: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.</w:t>
      </w:r>
    </w:p>
    <w:p w:rsidR="00FE580B" w:rsidRPr="00FE580B" w:rsidRDefault="00FE580B" w:rsidP="00FE580B">
      <w:pPr>
        <w:spacing w:after="0" w:line="420" w:lineRule="atLeast"/>
        <w:textAlignment w:val="baseline"/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</w:pPr>
      <w:r w:rsidRPr="00FE580B">
        <w:rPr>
          <w:rFonts w:ascii="Georgia" w:eastAsia="Times New Roman" w:hAnsi="Georgia" w:cs="Helvetica"/>
          <w:color w:val="111111"/>
          <w:sz w:val="27"/>
          <w:szCs w:val="27"/>
          <w:lang w:eastAsia="ru-RU"/>
        </w:rPr>
        <w:t>О результатах доложить в Правительство Российской Федерации с проектами соответствующих докладов Президенту Российской Федерации.</w:t>
      </w:r>
    </w:p>
    <w:p w:rsidR="0058024B" w:rsidRDefault="0058024B"/>
    <w:sectPr w:rsidR="0058024B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E8" w:rsidRDefault="002760E8" w:rsidP="00F72935">
      <w:pPr>
        <w:spacing w:after="0" w:line="240" w:lineRule="auto"/>
      </w:pPr>
      <w:r>
        <w:separator/>
      </w:r>
    </w:p>
  </w:endnote>
  <w:endnote w:type="continuationSeparator" w:id="0">
    <w:p w:rsidR="002760E8" w:rsidRDefault="002760E8" w:rsidP="00F7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030900"/>
      <w:docPartObj>
        <w:docPartGallery w:val="Page Numbers (Bottom of Page)"/>
        <w:docPartUnique/>
      </w:docPartObj>
    </w:sdtPr>
    <w:sdtContent>
      <w:p w:rsidR="00F72935" w:rsidRDefault="00F7293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2935" w:rsidRDefault="00F729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E8" w:rsidRDefault="002760E8" w:rsidP="00F72935">
      <w:pPr>
        <w:spacing w:after="0" w:line="240" w:lineRule="auto"/>
      </w:pPr>
      <w:r>
        <w:separator/>
      </w:r>
    </w:p>
  </w:footnote>
  <w:footnote w:type="continuationSeparator" w:id="0">
    <w:p w:rsidR="002760E8" w:rsidRDefault="002760E8" w:rsidP="00F7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0B"/>
    <w:rsid w:val="002760E8"/>
    <w:rsid w:val="0058024B"/>
    <w:rsid w:val="00F72935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A51C-C062-4900-A954-D85E8D1F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5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5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FE580B"/>
  </w:style>
  <w:style w:type="character" w:customStyle="1" w:styleId="apple-converted-space">
    <w:name w:val="apple-converted-space"/>
    <w:basedOn w:val="a0"/>
    <w:rsid w:val="00FE580B"/>
  </w:style>
  <w:style w:type="character" w:customStyle="1" w:styleId="readerarticledatelinetime">
    <w:name w:val="reader_article_dateline__time"/>
    <w:basedOn w:val="a0"/>
    <w:rsid w:val="00FE580B"/>
  </w:style>
  <w:style w:type="paragraph" w:styleId="a3">
    <w:name w:val="Normal (Web)"/>
    <w:basedOn w:val="a"/>
    <w:uiPriority w:val="99"/>
    <w:semiHidden/>
    <w:unhideWhenUsed/>
    <w:rsid w:val="00FE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580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935"/>
  </w:style>
  <w:style w:type="paragraph" w:styleId="a7">
    <w:name w:val="footer"/>
    <w:basedOn w:val="a"/>
    <w:link w:val="a8"/>
    <w:uiPriority w:val="99"/>
    <w:unhideWhenUsed/>
    <w:rsid w:val="00F7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6841">
          <w:marLeft w:val="0"/>
          <w:marRight w:val="0"/>
          <w:marTop w:val="0"/>
          <w:marBottom w:val="0"/>
          <w:divBdr>
            <w:top w:val="single" w:sz="6" w:space="11" w:color="DCDCDC"/>
            <w:left w:val="single" w:sz="2" w:space="0" w:color="DCDCDC"/>
            <w:bottom w:val="single" w:sz="6" w:space="11" w:color="DCDCDC"/>
            <w:right w:val="single" w:sz="2" w:space="0" w:color="DCDCD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ssignments/45813" TargetMode="External"/><Relationship Id="rId13" Type="http://schemas.openxmlformats.org/officeDocument/2006/relationships/hyperlink" Target="http://www.kremlin.ru/assignments/45813" TargetMode="External"/><Relationship Id="rId18" Type="http://schemas.openxmlformats.org/officeDocument/2006/relationships/hyperlink" Target="http://www.kremlin.ru/assignments/458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remlin.ru/assignments/45813" TargetMode="External"/><Relationship Id="rId7" Type="http://schemas.openxmlformats.org/officeDocument/2006/relationships/hyperlink" Target="http://www.kremlin.ru/assignments/45813" TargetMode="External"/><Relationship Id="rId12" Type="http://schemas.openxmlformats.org/officeDocument/2006/relationships/hyperlink" Target="http://www.kremlin.ru/assignments/45813" TargetMode="External"/><Relationship Id="rId17" Type="http://schemas.openxmlformats.org/officeDocument/2006/relationships/hyperlink" Target="http://www.kremlin.ru/assignments/4581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remlin.ru/assignments/45813" TargetMode="External"/><Relationship Id="rId20" Type="http://schemas.openxmlformats.org/officeDocument/2006/relationships/hyperlink" Target="http://www.kremlin.ru/assignments/458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emlin.ru/assignments/45813" TargetMode="External"/><Relationship Id="rId11" Type="http://schemas.openxmlformats.org/officeDocument/2006/relationships/hyperlink" Target="http://www.kremlin.ru/assignments/45813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kremlin.ru/assignments/4581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remlin.ru/assignments/45813" TargetMode="External"/><Relationship Id="rId19" Type="http://schemas.openxmlformats.org/officeDocument/2006/relationships/hyperlink" Target="http://www.kremlin.ru/assignments/458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emlin.ru/assignments/45813" TargetMode="External"/><Relationship Id="rId14" Type="http://schemas.openxmlformats.org/officeDocument/2006/relationships/hyperlink" Target="http://www.kremlin.ru/assignments/45813" TargetMode="External"/><Relationship Id="rId22" Type="http://schemas.openxmlformats.org/officeDocument/2006/relationships/hyperlink" Target="http://www.kremlin.ru/assignments/45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2014-09-29T07:34:00Z</dcterms:created>
  <dcterms:modified xsi:type="dcterms:W3CDTF">2014-09-29T07:36:00Z</dcterms:modified>
</cp:coreProperties>
</file>